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268" w:tblpY="-405"/>
        <w:tblW w:w="18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ED7D31" w:themeColor="accent2" w:fill="auto"/>
        <w:tblLook w:val="04A0" w:firstRow="1" w:lastRow="0" w:firstColumn="1" w:lastColumn="0" w:noHBand="0" w:noVBand="1"/>
      </w:tblPr>
      <w:tblGrid>
        <w:gridCol w:w="3366"/>
        <w:gridCol w:w="8262"/>
        <w:gridCol w:w="7182"/>
      </w:tblGrid>
      <w:tr w:rsidR="003040B1" w:rsidRPr="00853A0A" w:rsidTr="003040B1">
        <w:trPr>
          <w:trHeight w:val="16290"/>
        </w:trPr>
        <w:tc>
          <w:tcPr>
            <w:tcW w:w="3366" w:type="dxa"/>
            <w:shd w:val="clear" w:color="auto" w:fill="C5E0B3" w:themeFill="accent6" w:themeFillTint="66"/>
          </w:tcPr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59A02FE" wp14:editId="207181F3">
                  <wp:simplePos x="0" y="0"/>
                  <wp:positionH relativeFrom="margin">
                    <wp:posOffset>20955</wp:posOffset>
                  </wp:positionH>
                  <wp:positionV relativeFrom="margin">
                    <wp:posOffset>76835</wp:posOffset>
                  </wp:positionV>
                  <wp:extent cx="1981200" cy="2305050"/>
                  <wp:effectExtent l="0" t="0" r="0" b="0"/>
                  <wp:wrapSquare wrapText="bothSides"/>
                  <wp:docPr id="1" name="Picture 0" descr="WhatsApp Image 2024-10-10 at 2.04.1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0-10 at 2.04.17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ATAVOOR RAHMAN S A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HR </w:t>
            </w:r>
            <w:r w:rsidRPr="002002DB">
              <w:rPr>
                <w:rFonts w:ascii="Book Antiqua" w:hAnsi="Book Antiqua"/>
                <w:sz w:val="18"/>
                <w:szCs w:val="18"/>
              </w:rPr>
              <w:t xml:space="preserve">Shared Services| </w:t>
            </w:r>
            <w:r>
              <w:rPr>
                <w:rFonts w:ascii="Book Antiqua" w:hAnsi="Book Antiqua"/>
                <w:sz w:val="18"/>
                <w:szCs w:val="18"/>
              </w:rPr>
              <w:t>Talent Acquisition Operations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No.17,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Girija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Nagar,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Ernavoor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Chennai – 600 057.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E-</w:t>
            </w:r>
            <w:r w:rsidRPr="002002DB">
              <w:rPr>
                <w:rFonts w:ascii="Book Antiqua" w:hAnsi="Book Antiqua"/>
                <w:sz w:val="18"/>
                <w:szCs w:val="18"/>
              </w:rPr>
              <w:t>Mail: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2002DB">
              <w:rPr>
                <w:rFonts w:ascii="Book Antiqua" w:hAnsi="Book Antiqua"/>
                <w:sz w:val="18"/>
                <w:szCs w:val="18"/>
              </w:rPr>
              <w:t>atavoor@gmail.com</w:t>
            </w:r>
          </w:p>
          <w:p w:rsidR="003040B1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 w:rsidRPr="002002DB">
              <w:rPr>
                <w:rFonts w:ascii="Book Antiqua" w:hAnsi="Book Antiqua"/>
                <w:sz w:val="18"/>
                <w:szCs w:val="18"/>
              </w:rPr>
              <w:t>Mobile: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2002DB">
              <w:rPr>
                <w:rFonts w:ascii="Book Antiqua" w:hAnsi="Book Antiqua"/>
                <w:sz w:val="18"/>
                <w:szCs w:val="18"/>
              </w:rPr>
              <w:t>994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Pr="002002DB">
              <w:rPr>
                <w:rFonts w:ascii="Book Antiqua" w:hAnsi="Book Antiqua"/>
                <w:sz w:val="18"/>
                <w:szCs w:val="18"/>
              </w:rPr>
              <w:t>348047</w:t>
            </w:r>
          </w:p>
          <w:p w:rsidR="003040B1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Passport No.</w:t>
            </w:r>
            <w:r>
              <w:t xml:space="preserve"> </w:t>
            </w:r>
            <w:r w:rsidRPr="0061339E">
              <w:rPr>
                <w:rFonts w:ascii="Book Antiqua" w:hAnsi="Book Antiqua"/>
                <w:sz w:val="18"/>
                <w:szCs w:val="18"/>
              </w:rPr>
              <w:t>T3549549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Date of Expiry: 27.03.2029</w:t>
            </w: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Skills: -</w:t>
            </w:r>
          </w:p>
          <w:p w:rsidR="003040B1" w:rsidRPr="009F1F18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 w:rsidRPr="009F1F18">
              <w:rPr>
                <w:rFonts w:ascii="Book Antiqua" w:hAnsi="Book Antiqua"/>
                <w:sz w:val="18"/>
                <w:szCs w:val="18"/>
              </w:rPr>
              <w:t>Team Management</w:t>
            </w:r>
          </w:p>
          <w:p w:rsidR="003040B1" w:rsidRPr="009F1F18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 w:rsidRPr="009F1F18">
              <w:rPr>
                <w:rFonts w:ascii="Book Antiqua" w:hAnsi="Book Antiqua"/>
                <w:sz w:val="18"/>
                <w:szCs w:val="18"/>
              </w:rPr>
              <w:t>Process management as an individual contributor.</w:t>
            </w:r>
          </w:p>
          <w:p w:rsidR="003040B1" w:rsidRPr="009F1F18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 w:rsidRPr="009F1F18">
              <w:rPr>
                <w:rFonts w:ascii="Book Antiqua" w:hAnsi="Book Antiqua"/>
                <w:sz w:val="18"/>
                <w:szCs w:val="18"/>
              </w:rPr>
              <w:t xml:space="preserve">Process Analysis &amp; Insights to make decisions. </w:t>
            </w:r>
          </w:p>
          <w:p w:rsidR="003040B1" w:rsidRPr="009F1F18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 w:rsidRPr="009F1F18">
              <w:rPr>
                <w:rFonts w:ascii="Book Antiqua" w:hAnsi="Book Antiqua"/>
                <w:sz w:val="18"/>
                <w:szCs w:val="18"/>
              </w:rPr>
              <w:t>Training &amp; Development</w:t>
            </w:r>
          </w:p>
          <w:p w:rsidR="003040B1" w:rsidRPr="009F1F18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Knowledge of</w:t>
            </w:r>
            <w:r w:rsidRPr="009F1F18">
              <w:rPr>
                <w:rFonts w:ascii="Book Antiqua" w:hAnsi="Book Antiqua"/>
                <w:sz w:val="18"/>
                <w:szCs w:val="18"/>
              </w:rPr>
              <w:t xml:space="preserve"> HR helpdesk operations and compliance.</w:t>
            </w:r>
          </w:p>
          <w:p w:rsidR="003040B1" w:rsidRPr="008763EC" w:rsidRDefault="003040B1" w:rsidP="003040B1">
            <w:pPr>
              <w:pStyle w:val="ListParagraph"/>
              <w:ind w:left="427"/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Tools: -</w:t>
            </w:r>
          </w:p>
          <w:p w:rsidR="003040B1" w:rsidRDefault="003040B1" w:rsidP="003040B1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Oracle People soft</w:t>
            </w:r>
          </w:p>
          <w:p w:rsidR="003040B1" w:rsidRPr="002062D7" w:rsidRDefault="003040B1" w:rsidP="003040B1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MS Excel.</w:t>
            </w:r>
          </w:p>
          <w:p w:rsidR="003040B1" w:rsidRPr="00567E6A" w:rsidRDefault="003040B1" w:rsidP="003040B1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Salesforce Tool for query monitoring.</w:t>
            </w:r>
          </w:p>
          <w:p w:rsidR="003040B1" w:rsidRDefault="003040B1" w:rsidP="003040B1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Hire right </w:t>
            </w:r>
          </w:p>
          <w:p w:rsidR="003040B1" w:rsidRDefault="003040B1" w:rsidP="003040B1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Greythr</w:t>
            </w:r>
            <w:proofErr w:type="spellEnd"/>
          </w:p>
          <w:p w:rsidR="003040B1" w:rsidRDefault="003040B1" w:rsidP="003040B1">
            <w:pPr>
              <w:pStyle w:val="ListParagraph"/>
              <w:numPr>
                <w:ilvl w:val="0"/>
                <w:numId w:val="1"/>
              </w:numPr>
              <w:ind w:left="-15" w:hanging="365"/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62D7" w:rsidRDefault="003040B1" w:rsidP="003040B1">
            <w:pPr>
              <w:pStyle w:val="ListParagraph"/>
              <w:ind w:left="360"/>
              <w:rPr>
                <w:rFonts w:ascii="Book Antiqua" w:hAnsi="Book Antiqua"/>
                <w:sz w:val="18"/>
                <w:szCs w:val="18"/>
              </w:rPr>
            </w:pPr>
          </w:p>
          <w:p w:rsidR="003040B1" w:rsidRDefault="003040B1" w:rsidP="003040B1">
            <w:pPr>
              <w:ind w:left="6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E</w:t>
            </w:r>
            <w:r w:rsidRPr="002002DB">
              <w:rPr>
                <w:rFonts w:ascii="Book Antiqua" w:hAnsi="Book Antiqua"/>
                <w:b/>
                <w:sz w:val="18"/>
                <w:szCs w:val="18"/>
              </w:rPr>
              <w:t>ducation: -</w:t>
            </w: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sz w:val="18"/>
                <w:szCs w:val="18"/>
              </w:rPr>
            </w:pPr>
            <w:r w:rsidRPr="002002DB">
              <w:rPr>
                <w:rFonts w:ascii="Book Antiqua" w:hAnsi="Book Antiqua"/>
                <w:sz w:val="18"/>
                <w:szCs w:val="18"/>
              </w:rPr>
              <w:t xml:space="preserve">MBA- Human Resource </w:t>
            </w: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2010|</w:t>
            </w:r>
            <w:r w:rsidRPr="002002DB">
              <w:rPr>
                <w:rFonts w:ascii="Book Antiqua" w:hAnsi="Book Antiqua"/>
                <w:sz w:val="18"/>
                <w:szCs w:val="18"/>
              </w:rPr>
              <w:t xml:space="preserve">Mohammed </w:t>
            </w:r>
            <w:proofErr w:type="spellStart"/>
            <w:r w:rsidRPr="002002DB">
              <w:rPr>
                <w:rFonts w:ascii="Book Antiqua" w:hAnsi="Book Antiqua"/>
                <w:sz w:val="18"/>
                <w:szCs w:val="18"/>
              </w:rPr>
              <w:t>Sathak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2002DB">
              <w:rPr>
                <w:rFonts w:ascii="Book Antiqua" w:hAnsi="Book Antiqua"/>
                <w:sz w:val="18"/>
                <w:szCs w:val="18"/>
              </w:rPr>
              <w:t>College</w:t>
            </w:r>
            <w:r>
              <w:rPr>
                <w:rFonts w:ascii="Book Antiqua" w:hAnsi="Book Antiqua"/>
                <w:sz w:val="18"/>
                <w:szCs w:val="18"/>
              </w:rPr>
              <w:t>|</w:t>
            </w:r>
            <w:r w:rsidRPr="002002DB">
              <w:rPr>
                <w:rFonts w:ascii="Book Antiqua" w:hAnsi="Book Antiqua"/>
                <w:sz w:val="18"/>
                <w:szCs w:val="18"/>
              </w:rPr>
              <w:t xml:space="preserve"> Chennai</w:t>
            </w: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sz w:val="18"/>
                <w:szCs w:val="18"/>
              </w:rPr>
            </w:pPr>
            <w:r w:rsidRPr="002002DB">
              <w:rPr>
                <w:rFonts w:ascii="Book Antiqua" w:hAnsi="Book Antiqua"/>
                <w:sz w:val="18"/>
                <w:szCs w:val="18"/>
              </w:rPr>
              <w:t>B.Sc.- Physics</w:t>
            </w:r>
          </w:p>
          <w:p w:rsidR="003040B1" w:rsidRPr="002002DB" w:rsidRDefault="003040B1" w:rsidP="003040B1">
            <w:pPr>
              <w:ind w:left="67"/>
              <w:rPr>
                <w:rFonts w:ascii="Book Antiqua" w:hAnsi="Book Antiqua"/>
                <w:sz w:val="18"/>
                <w:szCs w:val="18"/>
              </w:rPr>
            </w:pPr>
            <w:r w:rsidRPr="002002DB">
              <w:rPr>
                <w:rFonts w:ascii="Book Antiqua" w:hAnsi="Book Antiqua"/>
                <w:sz w:val="18"/>
                <w:szCs w:val="18"/>
              </w:rPr>
              <w:t>2007|The New College| Chennai.</w:t>
            </w:r>
          </w:p>
        </w:tc>
        <w:tc>
          <w:tcPr>
            <w:tcW w:w="8262" w:type="dxa"/>
            <w:shd w:val="clear" w:color="ED7D31" w:themeColor="accent2" w:fill="auto"/>
          </w:tcPr>
          <w:p w:rsidR="008044E0" w:rsidRDefault="008044E0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040B1" w:rsidRPr="002002DB" w:rsidRDefault="003040B1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PROFESSIONAL SUMMARY: -</w:t>
            </w:r>
          </w:p>
          <w:p w:rsidR="003040B1" w:rsidRDefault="003040B1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040B1" w:rsidRPr="002002DB" w:rsidRDefault="003040B1" w:rsidP="003040B1">
            <w:pPr>
              <w:pStyle w:val="NoSpacing"/>
              <w:jc w:val="both"/>
            </w:pPr>
            <w:r w:rsidRPr="001A7000">
              <w:rPr>
                <w:rFonts w:ascii="Book Antiqua" w:hAnsi="Book Antiqua"/>
                <w:sz w:val="18"/>
                <w:szCs w:val="18"/>
              </w:rPr>
              <w:t>An experienced HR manager with 10 years of experience in human resources functions</w:t>
            </w:r>
            <w:r>
              <w:rPr>
                <w:rFonts w:ascii="Book Antiqua" w:hAnsi="Book Antiqua"/>
                <w:sz w:val="18"/>
                <w:szCs w:val="18"/>
              </w:rPr>
              <w:t xml:space="preserve"> like incumbent</w:t>
            </w:r>
            <w:r w:rsidRPr="001A7000">
              <w:rPr>
                <w:rFonts w:ascii="Book Antiqua" w:hAnsi="Book Antiqua"/>
                <w:sz w:val="18"/>
                <w:szCs w:val="18"/>
              </w:rPr>
              <w:t xml:space="preserve"> employee</w:t>
            </w:r>
            <w:r>
              <w:rPr>
                <w:rFonts w:ascii="Book Antiqua" w:hAnsi="Book Antiqua"/>
                <w:sz w:val="18"/>
                <w:szCs w:val="18"/>
              </w:rPr>
              <w:t xml:space="preserve"> on</w:t>
            </w:r>
            <w:r w:rsidRPr="001A7000">
              <w:rPr>
                <w:rFonts w:ascii="Book Antiqua" w:hAnsi="Book Antiqua"/>
                <w:sz w:val="18"/>
                <w:szCs w:val="18"/>
              </w:rPr>
              <w:t>boarding, absence management, employment verifications, employee data management, rewards and re</w:t>
            </w:r>
            <w:r>
              <w:rPr>
                <w:rFonts w:ascii="Book Antiqua" w:hAnsi="Book Antiqua"/>
                <w:sz w:val="18"/>
                <w:szCs w:val="18"/>
              </w:rPr>
              <w:t xml:space="preserve">cognition, employee relations, </w:t>
            </w:r>
            <w:r w:rsidRPr="001A7000">
              <w:rPr>
                <w:rFonts w:ascii="Book Antiqua" w:hAnsi="Book Antiqua"/>
                <w:sz w:val="18"/>
                <w:szCs w:val="18"/>
              </w:rPr>
              <w:t>stakeholder management via mail and helpdesk Tool.</w:t>
            </w:r>
          </w:p>
          <w:p w:rsidR="003040B1" w:rsidRPr="002002DB" w:rsidRDefault="003040B1" w:rsidP="003040B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HR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 Team</w:t>
            </w:r>
            <w:r w:rsidRPr="002002DB">
              <w:rPr>
                <w:rFonts w:ascii="Book Antiqua" w:hAnsi="Book Antiqua"/>
                <w:b/>
                <w:sz w:val="18"/>
                <w:szCs w:val="18"/>
              </w:rPr>
              <w:t xml:space="preserve"> Manager – Talent Acquisition Operations, Barc</w:t>
            </w:r>
            <w:r>
              <w:rPr>
                <w:rFonts w:ascii="Book Antiqua" w:hAnsi="Book Antiqua"/>
                <w:b/>
                <w:sz w:val="18"/>
                <w:szCs w:val="18"/>
              </w:rPr>
              <w:t>lays| Chennai | October 2022 – January 2025</w:t>
            </w:r>
            <w:r w:rsidRPr="002002DB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:rsidR="003040B1" w:rsidRPr="002002DB" w:rsidRDefault="003040B1" w:rsidP="003040B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50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Ensured the accuracy and completeness of data by establishing and implementing qualified checks and controls.  </w:t>
            </w:r>
          </w:p>
          <w:p w:rsidR="008044E0" w:rsidRPr="008044E0" w:rsidRDefault="008044E0" w:rsidP="008044E0">
            <w:pPr>
              <w:pStyle w:val="ListParagraph"/>
              <w:ind w:right="50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50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Experienced managing a team that handled employee data from onboarding to separation.</w:t>
            </w:r>
          </w:p>
          <w:p w:rsidR="008044E0" w:rsidRPr="008044E0" w:rsidRDefault="008044E0" w:rsidP="008044E0">
            <w:pPr>
              <w:ind w:right="50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-318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Ensures the queries and challenges are actioned on time and maintains better communication and coordination with other processes of the organization.   </w:t>
            </w:r>
          </w:p>
          <w:p w:rsidR="008044E0" w:rsidRPr="008044E0" w:rsidRDefault="008044E0" w:rsidP="008044E0">
            <w:pPr>
              <w:ind w:right="-318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50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Handling daily transactions of onboarding, HRIS management, </w:t>
            </w:r>
            <w:r w:rsidRPr="008044E0">
              <w:rPr>
                <w:rFonts w:ascii="Book Antiqua" w:hAnsi="Book Antiqua"/>
                <w:sz w:val="18"/>
                <w:szCs w:val="18"/>
              </w:rPr>
              <w:t>A</w:t>
            </w:r>
            <w:r w:rsidRPr="008044E0">
              <w:rPr>
                <w:rFonts w:ascii="Book Antiqua" w:hAnsi="Book Antiqua"/>
                <w:sz w:val="18"/>
                <w:szCs w:val="18"/>
              </w:rPr>
              <w:t xml:space="preserve">udit, </w:t>
            </w:r>
            <w:r w:rsidRPr="008044E0">
              <w:rPr>
                <w:rFonts w:ascii="Book Antiqua" w:hAnsi="Book Antiqua"/>
                <w:sz w:val="18"/>
                <w:szCs w:val="18"/>
              </w:rPr>
              <w:t>T</w:t>
            </w:r>
            <w:r w:rsidRPr="008044E0">
              <w:rPr>
                <w:rFonts w:ascii="Book Antiqua" w:hAnsi="Book Antiqua"/>
                <w:sz w:val="18"/>
                <w:szCs w:val="18"/>
              </w:rPr>
              <w:t>raining</w:t>
            </w:r>
            <w:r w:rsidRPr="008044E0">
              <w:rPr>
                <w:rFonts w:ascii="Book Antiqua" w:hAnsi="Book Antiqua"/>
                <w:sz w:val="18"/>
                <w:szCs w:val="18"/>
              </w:rPr>
              <w:t>.</w:t>
            </w:r>
            <w:r w:rsidRPr="008044E0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8044E0" w:rsidRPr="008044E0" w:rsidRDefault="008044E0" w:rsidP="008044E0">
            <w:pPr>
              <w:ind w:right="50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50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Experienced in publishing dashboards and metrics to the management with insights.</w:t>
            </w:r>
          </w:p>
          <w:p w:rsidR="008044E0" w:rsidRPr="008044E0" w:rsidRDefault="008044E0" w:rsidP="008044E0">
            <w:pPr>
              <w:ind w:right="50"/>
              <w:rPr>
                <w:rFonts w:ascii="Book Antiqua" w:hAnsi="Book Antiqua"/>
                <w:sz w:val="18"/>
                <w:szCs w:val="18"/>
              </w:rPr>
            </w:pPr>
          </w:p>
          <w:p w:rsidR="008044E0" w:rsidRPr="008044E0" w:rsidRDefault="008044E0" w:rsidP="008044E0">
            <w:pPr>
              <w:pStyle w:val="ListParagraph"/>
              <w:numPr>
                <w:ilvl w:val="0"/>
                <w:numId w:val="10"/>
              </w:numPr>
              <w:ind w:right="50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Monitor daily service operations for the team and ensure quality of service to our clients.</w:t>
            </w:r>
          </w:p>
          <w:p w:rsidR="003040B1" w:rsidRPr="002002DB" w:rsidRDefault="003040B1" w:rsidP="008044E0">
            <w:pPr>
              <w:pStyle w:val="ListParagraph"/>
              <w:ind w:left="342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3040B1" w:rsidRPr="002002DB" w:rsidRDefault="003040B1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 xml:space="preserve">Human Resources – Senior Executive, Diamondpick | Chennai | Apr 2022 – September 2022. </w:t>
            </w: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11"/>
              </w:numPr>
              <w:spacing w:after="67" w:line="238" w:lineRule="auto"/>
              <w:ind w:right="994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Managing onboarding process for multiple business units.  Played an effective role in employee data management via </w:t>
            </w:r>
            <w:proofErr w:type="spellStart"/>
            <w:r w:rsidRPr="008044E0">
              <w:rPr>
                <w:rFonts w:ascii="Book Antiqua" w:hAnsi="Book Antiqua"/>
                <w:sz w:val="18"/>
                <w:szCs w:val="18"/>
              </w:rPr>
              <w:t>Greythr</w:t>
            </w:r>
            <w:proofErr w:type="spellEnd"/>
            <w:r w:rsidRPr="008044E0">
              <w:rPr>
                <w:rFonts w:ascii="Book Antiqua" w:hAnsi="Book Antiqua"/>
                <w:sz w:val="18"/>
                <w:szCs w:val="18"/>
              </w:rPr>
              <w:t xml:space="preserve"> tool.</w:t>
            </w:r>
          </w:p>
          <w:p w:rsidR="008044E0" w:rsidRPr="008044E0" w:rsidRDefault="008044E0" w:rsidP="008044E0">
            <w:pPr>
              <w:pStyle w:val="ListParagraph"/>
              <w:spacing w:after="67" w:line="238" w:lineRule="auto"/>
              <w:ind w:right="994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Pr="008044E0" w:rsidRDefault="008044E0" w:rsidP="008044E0">
            <w:pPr>
              <w:pStyle w:val="ListParagraph"/>
              <w:numPr>
                <w:ilvl w:val="0"/>
                <w:numId w:val="11"/>
              </w:numPr>
              <w:spacing w:after="67" w:line="238" w:lineRule="auto"/>
              <w:ind w:right="994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Supporting payroll team with the employee’s information for effective monthly payout.</w:t>
            </w:r>
          </w:p>
          <w:p w:rsidR="003040B1" w:rsidRPr="00466A91" w:rsidRDefault="003040B1" w:rsidP="003040B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  <w:p w:rsidR="003040B1" w:rsidRPr="00BC7018" w:rsidRDefault="003040B1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>Human R</w:t>
            </w:r>
            <w:r>
              <w:rPr>
                <w:rFonts w:ascii="Book Antiqua" w:hAnsi="Book Antiqua"/>
                <w:b/>
                <w:sz w:val="18"/>
                <w:szCs w:val="18"/>
              </w:rPr>
              <w:t>esources – Executive, Cognizant Technology Solutions |</w:t>
            </w:r>
            <w:r w:rsidRPr="002002DB">
              <w:rPr>
                <w:rFonts w:ascii="Book Antiqua" w:hAnsi="Book Antiqua"/>
                <w:b/>
                <w:sz w:val="18"/>
                <w:szCs w:val="18"/>
              </w:rPr>
              <w:t>Chennai| Apr 2014-April 2022.</w:t>
            </w: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Served as a central point of contact and facilitated human resources needs for 2.5 lakh PAN India employees.    </w:t>
            </w:r>
          </w:p>
          <w:p w:rsidR="008044E0" w:rsidRPr="008044E0" w:rsidRDefault="008044E0" w:rsidP="008044E0">
            <w:pPr>
              <w:pStyle w:val="ListParagraph"/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Served as a liaison between management and employees by handling queries and interpreting their requirements across all functions and benefits.   </w:t>
            </w:r>
          </w:p>
          <w:p w:rsidR="008044E0" w:rsidRPr="008044E0" w:rsidRDefault="008044E0" w:rsidP="008044E0">
            <w:p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Analysis of system behavior periodically and ensure it synchronizes with Organizational policies with the support of IT.  </w:t>
            </w:r>
          </w:p>
          <w:p w:rsidR="008044E0" w:rsidRPr="008044E0" w:rsidRDefault="008044E0" w:rsidP="008044E0">
            <w:p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Coordinate with the team periodically to manage day-to-day operations and deliver better assistance with issues, processes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044E0">
              <w:rPr>
                <w:rFonts w:ascii="Book Antiqua" w:hAnsi="Book Antiqua"/>
                <w:sz w:val="18"/>
                <w:szCs w:val="18"/>
              </w:rPr>
              <w:t>technical glitches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044E0" w:rsidRPr="008044E0" w:rsidRDefault="008044E0" w:rsidP="008044E0">
            <w:p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   </w:t>
            </w: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Lead and deliver day-to-day and weekly operations SLA and KPI metrics to the COE and talent management Team to make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044E0">
              <w:rPr>
                <w:rFonts w:ascii="Book Antiqua" w:hAnsi="Book Antiqua"/>
                <w:sz w:val="18"/>
                <w:szCs w:val="18"/>
              </w:rPr>
              <w:t xml:space="preserve">key decisions in process standardization.   </w:t>
            </w:r>
          </w:p>
          <w:p w:rsidR="008044E0" w:rsidRPr="008044E0" w:rsidRDefault="008044E0" w:rsidP="008044E0">
            <w:p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Supported the Talent management team with financial transparency and analysis of benefits for regulatory compliance.   </w:t>
            </w:r>
          </w:p>
          <w:p w:rsidR="008044E0" w:rsidRPr="008044E0" w:rsidRDefault="008044E0" w:rsidP="008044E0">
            <w:p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Default="008044E0" w:rsidP="008044E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>Partner with functional areas to support employee inquiries related to all HR programs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044E0" w:rsidRPr="008044E0" w:rsidRDefault="008044E0" w:rsidP="008044E0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044E0" w:rsidRPr="008044E0" w:rsidRDefault="008044E0" w:rsidP="008044E0">
            <w:pPr>
              <w:pStyle w:val="ListParagraph"/>
              <w:numPr>
                <w:ilvl w:val="0"/>
                <w:numId w:val="8"/>
              </w:numPr>
              <w:ind w:right="5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044E0">
              <w:rPr>
                <w:rFonts w:ascii="Book Antiqua" w:hAnsi="Book Antiqua"/>
                <w:sz w:val="18"/>
                <w:szCs w:val="18"/>
              </w:rPr>
              <w:t xml:space="preserve">Manage escalations from businesses and employees and implement measures and controls in place to mitigate the impact on delivery operations.  </w:t>
            </w:r>
          </w:p>
          <w:p w:rsidR="003040B1" w:rsidRPr="002002DB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040B1" w:rsidRDefault="003040B1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2002DB">
              <w:rPr>
                <w:rFonts w:ascii="Book Antiqua" w:hAnsi="Book Antiqua"/>
                <w:b/>
                <w:sz w:val="18"/>
                <w:szCs w:val="18"/>
              </w:rPr>
              <w:t xml:space="preserve">Retail Process Associate, Amazon.com | Chennai | 2010 – 2013. </w:t>
            </w:r>
          </w:p>
          <w:p w:rsidR="008044E0" w:rsidRDefault="008044E0" w:rsidP="003040B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040B1" w:rsidRPr="002002DB" w:rsidRDefault="003040B1" w:rsidP="008044E0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8044E0">
              <w:rPr>
                <w:rFonts w:ascii="Book Antiqua" w:hAnsi="Book Antiqua"/>
                <w:sz w:val="18"/>
                <w:szCs w:val="18"/>
              </w:rPr>
              <w:t>Worked as an analyst on a tool to map the product costs across all the other online websites to suggest a good value for Amazon products.</w:t>
            </w:r>
          </w:p>
        </w:tc>
        <w:tc>
          <w:tcPr>
            <w:tcW w:w="7182" w:type="dxa"/>
            <w:shd w:val="clear" w:color="ED7D31" w:themeColor="accent2" w:fill="auto"/>
          </w:tcPr>
          <w:p w:rsidR="003040B1" w:rsidRPr="002002DB" w:rsidRDefault="003040B1" w:rsidP="003040B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9008C3" w:rsidRPr="002002DB" w:rsidRDefault="009008C3" w:rsidP="008B2085">
      <w:pPr>
        <w:spacing w:line="240" w:lineRule="auto"/>
        <w:rPr>
          <w:rFonts w:ascii="Book Antiqua" w:hAnsi="Book Antiqua"/>
          <w:sz w:val="18"/>
          <w:szCs w:val="18"/>
        </w:rPr>
      </w:pPr>
      <w:bookmarkStart w:id="0" w:name="_GoBack"/>
      <w:bookmarkEnd w:id="0"/>
    </w:p>
    <w:sectPr w:rsidR="009008C3" w:rsidRPr="002002DB" w:rsidSect="003040B1">
      <w:pgSz w:w="11909" w:h="16834" w:code="9"/>
      <w:pgMar w:top="720" w:right="1379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D44"/>
    <w:multiLevelType w:val="hybridMultilevel"/>
    <w:tmpl w:val="4E962194"/>
    <w:lvl w:ilvl="0" w:tplc="348C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7A57"/>
    <w:multiLevelType w:val="hybridMultilevel"/>
    <w:tmpl w:val="741E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163"/>
    <w:multiLevelType w:val="hybridMultilevel"/>
    <w:tmpl w:val="BD6C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5E3"/>
    <w:multiLevelType w:val="hybridMultilevel"/>
    <w:tmpl w:val="64F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D50D3"/>
    <w:multiLevelType w:val="hybridMultilevel"/>
    <w:tmpl w:val="075C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5E8B"/>
    <w:multiLevelType w:val="hybridMultilevel"/>
    <w:tmpl w:val="898C63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A3C39"/>
    <w:multiLevelType w:val="hybridMultilevel"/>
    <w:tmpl w:val="2D56822A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7" w15:restartNumberingAfterBreak="0">
    <w:nsid w:val="4E0A1EF6"/>
    <w:multiLevelType w:val="hybridMultilevel"/>
    <w:tmpl w:val="FCF286D4"/>
    <w:lvl w:ilvl="0" w:tplc="348C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0C0D"/>
    <w:multiLevelType w:val="hybridMultilevel"/>
    <w:tmpl w:val="E79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95D2E"/>
    <w:multiLevelType w:val="hybridMultilevel"/>
    <w:tmpl w:val="D72AEBDA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2D4320B"/>
    <w:multiLevelType w:val="hybridMultilevel"/>
    <w:tmpl w:val="130E5150"/>
    <w:lvl w:ilvl="0" w:tplc="348C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3295"/>
    <w:multiLevelType w:val="hybridMultilevel"/>
    <w:tmpl w:val="967C9D9E"/>
    <w:lvl w:ilvl="0" w:tplc="348C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6D"/>
    <w:rsid w:val="000214B0"/>
    <w:rsid w:val="0002173F"/>
    <w:rsid w:val="00096CD8"/>
    <w:rsid w:val="000F0FD4"/>
    <w:rsid w:val="001025CB"/>
    <w:rsid w:val="0010278A"/>
    <w:rsid w:val="00147034"/>
    <w:rsid w:val="001A7000"/>
    <w:rsid w:val="001A7C58"/>
    <w:rsid w:val="001B2B95"/>
    <w:rsid w:val="002002DB"/>
    <w:rsid w:val="002062D7"/>
    <w:rsid w:val="00214DB4"/>
    <w:rsid w:val="00256066"/>
    <w:rsid w:val="00272C59"/>
    <w:rsid w:val="00297151"/>
    <w:rsid w:val="00297C66"/>
    <w:rsid w:val="002A690D"/>
    <w:rsid w:val="002D6A97"/>
    <w:rsid w:val="002E5630"/>
    <w:rsid w:val="003040B1"/>
    <w:rsid w:val="00335716"/>
    <w:rsid w:val="00340CD6"/>
    <w:rsid w:val="00403B63"/>
    <w:rsid w:val="00456978"/>
    <w:rsid w:val="00466A91"/>
    <w:rsid w:val="004B355F"/>
    <w:rsid w:val="004E68E7"/>
    <w:rsid w:val="00527DAD"/>
    <w:rsid w:val="00567E6A"/>
    <w:rsid w:val="005A4305"/>
    <w:rsid w:val="005B0805"/>
    <w:rsid w:val="005E22A8"/>
    <w:rsid w:val="005F5B19"/>
    <w:rsid w:val="0061339E"/>
    <w:rsid w:val="00616C26"/>
    <w:rsid w:val="00673840"/>
    <w:rsid w:val="00687BDD"/>
    <w:rsid w:val="006C16B9"/>
    <w:rsid w:val="006F5DF8"/>
    <w:rsid w:val="00760F40"/>
    <w:rsid w:val="0077025C"/>
    <w:rsid w:val="0077525A"/>
    <w:rsid w:val="008044E0"/>
    <w:rsid w:val="008137E1"/>
    <w:rsid w:val="00840FEC"/>
    <w:rsid w:val="00844343"/>
    <w:rsid w:val="00853A0A"/>
    <w:rsid w:val="008763EC"/>
    <w:rsid w:val="008B2085"/>
    <w:rsid w:val="008C2296"/>
    <w:rsid w:val="008E76BC"/>
    <w:rsid w:val="009008C3"/>
    <w:rsid w:val="00901DDB"/>
    <w:rsid w:val="00916BE7"/>
    <w:rsid w:val="009451C2"/>
    <w:rsid w:val="00962CEC"/>
    <w:rsid w:val="00964D22"/>
    <w:rsid w:val="009708AC"/>
    <w:rsid w:val="009A056D"/>
    <w:rsid w:val="009F1F18"/>
    <w:rsid w:val="00A163C4"/>
    <w:rsid w:val="00A300E9"/>
    <w:rsid w:val="00A744B8"/>
    <w:rsid w:val="00B51DE9"/>
    <w:rsid w:val="00B96FDB"/>
    <w:rsid w:val="00BC7018"/>
    <w:rsid w:val="00BE54DA"/>
    <w:rsid w:val="00C41F67"/>
    <w:rsid w:val="00C61DBA"/>
    <w:rsid w:val="00C941B2"/>
    <w:rsid w:val="00D3463F"/>
    <w:rsid w:val="00D63834"/>
    <w:rsid w:val="00D87AEA"/>
    <w:rsid w:val="00DD0F71"/>
    <w:rsid w:val="00E00EEB"/>
    <w:rsid w:val="00E35EBD"/>
    <w:rsid w:val="00E61203"/>
    <w:rsid w:val="00E9369A"/>
    <w:rsid w:val="00F22FA8"/>
    <w:rsid w:val="00F40CDE"/>
    <w:rsid w:val="00F415CB"/>
    <w:rsid w:val="00F819E7"/>
    <w:rsid w:val="00FB6A83"/>
    <w:rsid w:val="00FC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F1098"/>
  <w15:docId w15:val="{92C2DE82-6685-436C-B1B9-76D22C8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7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0014-3F2B-4392-9E78-E08343C5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2856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GEEGEEXEROX</dc:creator>
  <cp:lastModifiedBy>Lenovo</cp:lastModifiedBy>
  <cp:revision>2</cp:revision>
  <cp:lastPrinted>2024-01-09T04:38:00Z</cp:lastPrinted>
  <dcterms:created xsi:type="dcterms:W3CDTF">2025-04-04T12:29:00Z</dcterms:created>
  <dcterms:modified xsi:type="dcterms:W3CDTF">2025-04-04T12:29:00Z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29ab83dae56584d19f463cf75eb7fb654a78bda56c6e29c7a2d50d7210bb9063</vt:lpwstr>
  </property>
</Properties>
</file>